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B9" w:rsidRPr="00224CB9" w:rsidRDefault="00224CB9" w:rsidP="00224CB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224CB9">
        <w:rPr>
          <w:rFonts w:ascii="Arial" w:eastAsia="Times New Roman" w:hAnsi="Arial" w:cs="Arial"/>
          <w:color w:val="000000"/>
          <w:sz w:val="21"/>
          <w:szCs w:val="21"/>
        </w:rPr>
        <w:t>Приложение 5      </w:t>
      </w:r>
      <w:r w:rsidRPr="00224CB9">
        <w:rPr>
          <w:rFonts w:ascii="Arial" w:eastAsia="Times New Roman" w:hAnsi="Arial" w:cs="Arial"/>
          <w:color w:val="000000"/>
          <w:sz w:val="21"/>
        </w:rPr>
        <w:t> 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к приказу Министра финансов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Республики Казахстан  </w:t>
      </w:r>
      <w:r w:rsidRPr="00224CB9">
        <w:rPr>
          <w:rFonts w:ascii="Arial" w:eastAsia="Times New Roman" w:hAnsi="Arial" w:cs="Arial"/>
          <w:color w:val="000000"/>
          <w:sz w:val="21"/>
        </w:rPr>
        <w:t> 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от 26 марта 2015 года № 216</w:t>
      </w:r>
    </w:p>
    <w:p w:rsidR="00224CB9" w:rsidRPr="00224CB9" w:rsidRDefault="00224CB9" w:rsidP="00224C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24CB9">
        <w:rPr>
          <w:rFonts w:ascii="Arial" w:eastAsia="Times New Roman" w:hAnsi="Arial" w:cs="Arial"/>
          <w:color w:val="000000"/>
          <w:sz w:val="21"/>
          <w:szCs w:val="21"/>
        </w:rPr>
        <w:t>      Сноска. Приложение 5 в редакции приказа Министра финансов РК от 04.08.2016</w:t>
      </w:r>
      <w:r w:rsidRPr="00224CB9">
        <w:rPr>
          <w:rFonts w:ascii="Arial" w:eastAsia="Times New Roman" w:hAnsi="Arial" w:cs="Arial"/>
          <w:color w:val="000000"/>
          <w:sz w:val="21"/>
        </w:rPr>
        <w:t> </w:t>
      </w:r>
      <w:hyperlink r:id="rId4" w:anchor="z12" w:history="1">
        <w:r w:rsidRPr="00224CB9">
          <w:rPr>
            <w:rFonts w:ascii="Arial" w:eastAsia="Times New Roman" w:hAnsi="Arial" w:cs="Arial"/>
            <w:color w:val="0000FF"/>
            <w:sz w:val="21"/>
            <w:u w:val="single"/>
          </w:rPr>
          <w:t>№ 428</w:t>
        </w:r>
      </w:hyperlink>
      <w:r w:rsidRPr="00224CB9">
        <w:rPr>
          <w:rFonts w:ascii="Arial" w:eastAsia="Times New Roman" w:hAnsi="Arial" w:cs="Arial"/>
          <w:color w:val="000000"/>
          <w:sz w:val="21"/>
        </w:rPr>
        <w:t> 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t>(вводится в действие со дня его первого официального опубликования).</w:t>
      </w:r>
    </w:p>
    <w:p w:rsidR="00224CB9" w:rsidRPr="00224CB9" w:rsidRDefault="00224CB9" w:rsidP="00224CB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224CB9">
        <w:rPr>
          <w:rFonts w:ascii="Arial" w:eastAsia="Times New Roman" w:hAnsi="Arial" w:cs="Arial"/>
          <w:color w:val="000000"/>
          <w:sz w:val="21"/>
          <w:szCs w:val="21"/>
        </w:rPr>
        <w:t>Форма</w:t>
      </w:r>
    </w:p>
    <w:p w:rsidR="00224CB9" w:rsidRPr="00224CB9" w:rsidRDefault="00224CB9" w:rsidP="00224C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24CB9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Ежеквартальный отчет о соответствии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       </w:t>
      </w:r>
      <w:r w:rsidRPr="00224CB9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минимальным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224CB9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требованиям аудиторских организаций,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            </w:t>
      </w:r>
      <w:r w:rsidRPr="00224CB9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которые проводят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224CB9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обязательный аудит</w:t>
      </w:r>
    </w:p>
    <w:p w:rsidR="00224CB9" w:rsidRPr="00224CB9" w:rsidRDefault="00224CB9" w:rsidP="00224C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4CB9">
        <w:rPr>
          <w:rFonts w:ascii="Arial" w:eastAsia="Times New Roman" w:hAnsi="Arial" w:cs="Arial"/>
          <w:color w:val="000000"/>
          <w:sz w:val="21"/>
          <w:szCs w:val="21"/>
        </w:rPr>
        <w:t>Год _______________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Квартал ___________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БИН профессиональной аудиторской организации ________________________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Наименование профессиональной аудиторской организации _______________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1469"/>
        <w:gridCol w:w="1250"/>
        <w:gridCol w:w="1250"/>
        <w:gridCol w:w="1637"/>
        <w:gridCol w:w="1259"/>
        <w:gridCol w:w="1891"/>
        <w:gridCol w:w="1410"/>
      </w:tblGrid>
      <w:tr w:rsidR="00224CB9" w:rsidRPr="00224CB9" w:rsidTr="00224CB9">
        <w:trPr>
          <w:trHeight w:val="420"/>
          <w:tblCellSpacing w:w="15" w:type="dxa"/>
        </w:trPr>
        <w:tc>
          <w:tcPr>
            <w:tcW w:w="360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860" w:type="dxa"/>
            <w:gridSpan w:val="7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обязательному аудиту организаций</w:t>
            </w:r>
          </w:p>
        </w:tc>
      </w:tr>
      <w:tr w:rsidR="00224CB9" w:rsidRPr="00224CB9" w:rsidTr="00224CB9">
        <w:trPr>
          <w:trHeight w:val="1950"/>
          <w:tblCellSpacing w:w="15" w:type="dxa"/>
        </w:trPr>
        <w:tc>
          <w:tcPr>
            <w:tcW w:w="36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  <w:r w:rsidRPr="00224C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proofErr w:type="gramStart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аудиторской организации</w:t>
            </w:r>
          </w:p>
        </w:tc>
        <w:tc>
          <w:tcPr>
            <w:tcW w:w="130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БИН аудиторской организации</w:t>
            </w: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аудиторов в составе аудиторской организации</w:t>
            </w:r>
          </w:p>
        </w:tc>
        <w:tc>
          <w:tcPr>
            <w:tcW w:w="231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договора обязательного страхования гражданско-правовой ответственности аудиторской организации и дата выдачи</w:t>
            </w:r>
          </w:p>
        </w:tc>
        <w:tc>
          <w:tcPr>
            <w:tcW w:w="201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Номер заключения по результатам внешнего контроля качества и дата выдачи, с указанием оценки</w:t>
            </w: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Административные взыскания в течение последнего года</w:t>
            </w:r>
          </w:p>
        </w:tc>
        <w:tc>
          <w:tcPr>
            <w:tcW w:w="240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проведенных обязательных аудитов</w:t>
            </w:r>
          </w:p>
        </w:tc>
      </w:tr>
      <w:tr w:rsidR="00224CB9" w:rsidRPr="00224CB9" w:rsidTr="00224CB9">
        <w:trPr>
          <w:trHeight w:val="300"/>
          <w:tblCellSpacing w:w="15" w:type="dxa"/>
        </w:trPr>
        <w:tc>
          <w:tcPr>
            <w:tcW w:w="36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24CB9" w:rsidRPr="00224CB9" w:rsidTr="00224CB9">
        <w:trPr>
          <w:trHeight w:val="300"/>
          <w:tblCellSpacing w:w="15" w:type="dxa"/>
        </w:trPr>
        <w:tc>
          <w:tcPr>
            <w:tcW w:w="360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224CB9" w:rsidRPr="00224CB9" w:rsidRDefault="00224CB9" w:rsidP="00224C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24CB9">
        <w:rPr>
          <w:rFonts w:ascii="Arial" w:eastAsia="Times New Roman" w:hAnsi="Arial" w:cs="Arial"/>
          <w:color w:val="000000"/>
          <w:sz w:val="21"/>
          <w:szCs w:val="21"/>
        </w:rPr>
        <w:t>продолжение таблицы</w:t>
      </w:r>
    </w:p>
    <w:tbl>
      <w:tblPr>
        <w:tblW w:w="105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325"/>
        <w:gridCol w:w="1958"/>
        <w:gridCol w:w="1395"/>
        <w:gridCol w:w="1870"/>
        <w:gridCol w:w="1493"/>
        <w:gridCol w:w="1410"/>
      </w:tblGrid>
      <w:tr w:rsidR="00224CB9" w:rsidRPr="00224CB9" w:rsidTr="00224CB9">
        <w:trPr>
          <w:trHeight w:val="300"/>
          <w:tblCellSpacing w:w="15" w:type="dxa"/>
        </w:trPr>
        <w:tc>
          <w:tcPr>
            <w:tcW w:w="6825" w:type="dxa"/>
            <w:gridSpan w:val="4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 обязательному аудиту национальных</w:t>
            </w:r>
            <w:r w:rsidRPr="00224C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компаний, национальных холдингов,</w:t>
            </w:r>
            <w:r w:rsidRPr="00224C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национальных управляющих холдингов</w:t>
            </w:r>
            <w:r w:rsidRPr="00224C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7395" w:type="dxa"/>
            <w:gridSpan w:val="3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обязательному аудиту финансовых организаций и АО «Банк Развития Казахстана»</w:t>
            </w:r>
            <w:r w:rsidRPr="00224CB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(при наличии)</w:t>
            </w:r>
          </w:p>
        </w:tc>
      </w:tr>
      <w:tr w:rsidR="00224CB9" w:rsidRPr="00224CB9" w:rsidTr="00224CB9">
        <w:trPr>
          <w:trHeight w:val="1520"/>
          <w:tblCellSpacing w:w="15" w:type="dxa"/>
        </w:trPr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срок занятия аудиторской деятельностью руководителя аудиторской организации (не менее 5 лет)</w:t>
            </w: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организаций, в которых проведен аудит в соответствии с МСФО (не менее 10)</w:t>
            </w:r>
          </w:p>
        </w:tc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специалистов, имеющих сертификат профессионального бухгалтера (не менее 2)</w:t>
            </w:r>
          </w:p>
        </w:tc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 проведенных обязательных аудитов</w:t>
            </w:r>
          </w:p>
        </w:tc>
        <w:tc>
          <w:tcPr>
            <w:tcW w:w="229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Ф.И.О. (при его наличии) руководителя группы, имеющий квалификационное свидетельство «аудитор» с опытом работы в области аудита финансовых организаций в течение 3 лет </w:t>
            </w:r>
            <w:proofErr w:type="gramStart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</w:t>
            </w:r>
            <w:proofErr w:type="gramEnd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последних 5</w:t>
            </w:r>
          </w:p>
        </w:tc>
        <w:tc>
          <w:tcPr>
            <w:tcW w:w="399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  (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его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наличии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специалистов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имеющих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одну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полных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квалификаций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Certified Public Accountant (CPA), The Association of Chartered Certified Ac</w:t>
            </w:r>
            <w:proofErr w:type="gramStart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proofErr w:type="spellStart"/>
            <w:proofErr w:type="gramEnd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countants</w:t>
            </w:r>
            <w:proofErr w:type="spellEnd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(ACCA), The Chartered Institute of Man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Ғ</w:t>
            </w:r>
            <w:proofErr w:type="spellStart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agement</w:t>
            </w:r>
            <w:proofErr w:type="spellEnd"/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Accountants (CIMA), The Institute of Chartered Accountants in England and Wales (ICAEW)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области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бухгалтерского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учета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аудита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либо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квалификацию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«аудитор» с опытом работы в области аудита финансовых </w:t>
            </w: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организаций в течении 2 (двух) лет из последних пяти (не менее 2)</w:t>
            </w:r>
          </w:p>
        </w:tc>
        <w:tc>
          <w:tcPr>
            <w:tcW w:w="87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количество проведенных обязательных аудитов</w:t>
            </w:r>
          </w:p>
        </w:tc>
      </w:tr>
      <w:tr w:rsidR="00224CB9" w:rsidRPr="00224CB9" w:rsidTr="00224CB9">
        <w:trPr>
          <w:trHeight w:val="300"/>
          <w:tblCellSpacing w:w="15" w:type="dxa"/>
        </w:trPr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5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9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0" w:type="dxa"/>
            <w:vAlign w:val="center"/>
            <w:hideMark/>
          </w:tcPr>
          <w:p w:rsidR="00224CB9" w:rsidRPr="00224CB9" w:rsidRDefault="00224CB9" w:rsidP="00224C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C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224CB9" w:rsidRPr="00224CB9" w:rsidTr="00224CB9">
        <w:trPr>
          <w:trHeight w:val="300"/>
          <w:tblCellSpacing w:w="15" w:type="dxa"/>
        </w:trPr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2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  <w:hideMark/>
          </w:tcPr>
          <w:p w:rsidR="00224CB9" w:rsidRPr="00224CB9" w:rsidRDefault="00224CB9" w:rsidP="00224C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224CB9" w:rsidRPr="00224CB9" w:rsidRDefault="00224CB9" w:rsidP="00224C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4CB9">
        <w:rPr>
          <w:rFonts w:ascii="Arial" w:eastAsia="Times New Roman" w:hAnsi="Arial" w:cs="Arial"/>
          <w:color w:val="000000"/>
          <w:sz w:val="21"/>
          <w:szCs w:val="21"/>
        </w:rPr>
        <w:t>Примечание: столбцы 9, 10, 11, 12 – заполняются при проведении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обязательного аудита национальных компаний, национальных холдингов,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национальных управляющих холдингов;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столбцы 13, 14, 15- заполняются при проведении обязательного аудита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финансовых организаций и АО «Банк Развития Казахстана».</w:t>
      </w:r>
    </w:p>
    <w:p w:rsidR="00224CB9" w:rsidRPr="00224CB9" w:rsidRDefault="00224CB9" w:rsidP="00224C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4CB9">
        <w:rPr>
          <w:rFonts w:ascii="Arial" w:eastAsia="Times New Roman" w:hAnsi="Arial" w:cs="Arial"/>
          <w:color w:val="000000"/>
          <w:sz w:val="21"/>
          <w:szCs w:val="21"/>
        </w:rPr>
        <w:t>Руководитель профессиональной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аудиторской организации __________ ___________________________</w:t>
      </w:r>
      <w:r w:rsidRPr="00224CB9">
        <w:rPr>
          <w:rFonts w:ascii="Arial" w:eastAsia="Times New Roman" w:hAnsi="Arial" w:cs="Arial"/>
          <w:color w:val="000000"/>
          <w:sz w:val="21"/>
          <w:szCs w:val="21"/>
        </w:rPr>
        <w:br/>
        <w:t>                         Подпись   (Ф.И.О. (при его наличии))</w:t>
      </w:r>
    </w:p>
    <w:p w:rsidR="002C0905" w:rsidRDefault="002C0905"/>
    <w:sectPr w:rsidR="002C0905" w:rsidSect="00224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CB9"/>
    <w:rsid w:val="00224CB9"/>
    <w:rsid w:val="002C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4CB9"/>
  </w:style>
  <w:style w:type="paragraph" w:customStyle="1" w:styleId="note">
    <w:name w:val="note"/>
    <w:basedOn w:val="a"/>
    <w:rsid w:val="0022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4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ngrinews.kz/zakon/docs?ngr=V1600014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Nailya</cp:lastModifiedBy>
  <cp:revision>2</cp:revision>
  <dcterms:created xsi:type="dcterms:W3CDTF">2016-12-28T08:55:00Z</dcterms:created>
  <dcterms:modified xsi:type="dcterms:W3CDTF">2016-12-28T08:56:00Z</dcterms:modified>
</cp:coreProperties>
</file>