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7B" w:rsidRPr="00925990" w:rsidRDefault="003E647B" w:rsidP="003E647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bookmarkStart w:id="0" w:name="_GoBack"/>
      <w:bookmarkEnd w:id="0"/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3E647B" w:rsidRPr="00925990" w:rsidRDefault="003E647B" w:rsidP="003E647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  Форма    </w:t>
      </w:r>
    </w:p>
    <w:p w:rsidR="003E647B" w:rsidRDefault="003E647B" w:rsidP="004C23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22F78" w:rsidRPr="004C230C" w:rsidRDefault="00E13919" w:rsidP="004C23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230C">
        <w:rPr>
          <w:rFonts w:ascii="Times New Roman" w:hAnsi="Times New Roman" w:cs="Times New Roman"/>
          <w:b/>
          <w:bCs/>
          <w:color w:val="000000"/>
        </w:rPr>
        <w:t>Ежеквартальный отчет о соответствии минимальным</w:t>
      </w:r>
      <w:r w:rsidRPr="004C230C">
        <w:rPr>
          <w:rFonts w:ascii="Times New Roman" w:hAnsi="Times New Roman" w:cs="Times New Roman"/>
          <w:color w:val="000000"/>
        </w:rPr>
        <w:t xml:space="preserve"> </w:t>
      </w:r>
      <w:r w:rsidRPr="004C230C">
        <w:rPr>
          <w:rFonts w:ascii="Times New Roman" w:hAnsi="Times New Roman" w:cs="Times New Roman"/>
          <w:b/>
          <w:bCs/>
          <w:color w:val="000000"/>
        </w:rPr>
        <w:t>требованиям</w:t>
      </w:r>
      <w:r w:rsidRPr="004C230C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4C230C">
        <w:rPr>
          <w:rFonts w:ascii="Times New Roman" w:hAnsi="Times New Roman" w:cs="Times New Roman"/>
          <w:b/>
          <w:bCs/>
          <w:color w:val="000000"/>
        </w:rPr>
        <w:t>аудиторских организаций, которые проводят</w:t>
      </w:r>
      <w:r w:rsidRPr="004C230C">
        <w:rPr>
          <w:rFonts w:ascii="Times New Roman" w:hAnsi="Times New Roman" w:cs="Times New Roman"/>
          <w:color w:val="000000"/>
        </w:rPr>
        <w:t xml:space="preserve"> </w:t>
      </w:r>
      <w:r w:rsidRPr="004C230C">
        <w:rPr>
          <w:rFonts w:ascii="Times New Roman" w:hAnsi="Times New Roman" w:cs="Times New Roman"/>
          <w:b/>
          <w:bCs/>
          <w:color w:val="000000"/>
        </w:rPr>
        <w:t>обязательный аудит</w:t>
      </w:r>
    </w:p>
    <w:p w:rsidR="00E13919" w:rsidRPr="004C230C" w:rsidRDefault="00E13919" w:rsidP="00E1391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618"/>
        <w:gridCol w:w="1500"/>
        <w:gridCol w:w="1418"/>
        <w:gridCol w:w="1559"/>
        <w:gridCol w:w="1418"/>
        <w:gridCol w:w="1666"/>
      </w:tblGrid>
      <w:tr w:rsidR="00E13919" w:rsidRPr="004C230C" w:rsidTr="004C230C">
        <w:tc>
          <w:tcPr>
            <w:tcW w:w="9571" w:type="dxa"/>
            <w:gridSpan w:val="7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По обязательному аудиту организаций</w:t>
            </w:r>
          </w:p>
        </w:tc>
      </w:tr>
      <w:tr w:rsidR="004C230C" w:rsidRPr="004C230C" w:rsidTr="002C304D">
        <w:tc>
          <w:tcPr>
            <w:tcW w:w="392" w:type="dxa"/>
          </w:tcPr>
          <w:p w:rsidR="00E13919" w:rsidRPr="004C230C" w:rsidRDefault="00E13919" w:rsidP="00E13919">
            <w:pPr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18" w:type="dxa"/>
          </w:tcPr>
          <w:p w:rsidR="00E13919" w:rsidRPr="004C230C" w:rsidRDefault="002C304D" w:rsidP="002C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4C230C" w:rsidRPr="004C230C">
              <w:rPr>
                <w:rFonts w:ascii="Times New Roman" w:hAnsi="Times New Roman" w:cs="Times New Roman"/>
                <w:color w:val="000000"/>
              </w:rPr>
              <w:t>аименование аудиторской организации</w:t>
            </w:r>
          </w:p>
        </w:tc>
        <w:tc>
          <w:tcPr>
            <w:tcW w:w="1500" w:type="dxa"/>
          </w:tcPr>
          <w:p w:rsidR="00E13919" w:rsidRPr="004C230C" w:rsidRDefault="004C230C" w:rsidP="002C304D">
            <w:pPr>
              <w:jc w:val="center"/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БИН аудиторской организации</w:t>
            </w:r>
          </w:p>
        </w:tc>
        <w:tc>
          <w:tcPr>
            <w:tcW w:w="1418" w:type="dxa"/>
          </w:tcPr>
          <w:p w:rsidR="00E13919" w:rsidRPr="004C230C" w:rsidRDefault="004C230C" w:rsidP="002C304D">
            <w:pPr>
              <w:jc w:val="center"/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количество аудиторов в составе аудиторской организации</w:t>
            </w:r>
          </w:p>
        </w:tc>
        <w:tc>
          <w:tcPr>
            <w:tcW w:w="1559" w:type="dxa"/>
          </w:tcPr>
          <w:p w:rsidR="00E13919" w:rsidRPr="004C230C" w:rsidRDefault="002C304D" w:rsidP="002C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договора </w:t>
            </w:r>
            <w:r w:rsidR="004C230C" w:rsidRPr="004C230C">
              <w:rPr>
                <w:rFonts w:ascii="Times New Roman" w:hAnsi="Times New Roman" w:cs="Times New Roman"/>
                <w:color w:val="000000"/>
              </w:rPr>
              <w:t>обязательного страхования гражданско-правовой ответственности аудиторской организации</w:t>
            </w:r>
          </w:p>
        </w:tc>
        <w:tc>
          <w:tcPr>
            <w:tcW w:w="1418" w:type="dxa"/>
          </w:tcPr>
          <w:p w:rsidR="00E13919" w:rsidRPr="004C230C" w:rsidRDefault="004C230C" w:rsidP="002C304D">
            <w:pPr>
              <w:jc w:val="center"/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наличие заключения по результатам внешнего контроля качества</w:t>
            </w:r>
          </w:p>
        </w:tc>
        <w:tc>
          <w:tcPr>
            <w:tcW w:w="1666" w:type="dxa"/>
          </w:tcPr>
          <w:p w:rsidR="00E13919" w:rsidRPr="004C230C" w:rsidRDefault="004C230C" w:rsidP="002C304D">
            <w:pPr>
              <w:jc w:val="center"/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отсутствие в течение последнего года административных взысканий</w:t>
            </w:r>
          </w:p>
        </w:tc>
      </w:tr>
      <w:tr w:rsidR="004C230C" w:rsidRPr="004C230C" w:rsidTr="002C304D">
        <w:tc>
          <w:tcPr>
            <w:tcW w:w="392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8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6" w:type="dxa"/>
          </w:tcPr>
          <w:p w:rsidR="00E13919" w:rsidRPr="004C230C" w:rsidRDefault="00E13919" w:rsidP="004C2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0C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E13919" w:rsidRPr="004C230C" w:rsidRDefault="00E13919" w:rsidP="004C2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91"/>
        <w:gridCol w:w="1994"/>
        <w:gridCol w:w="2268"/>
        <w:gridCol w:w="1950"/>
      </w:tblGrid>
      <w:tr w:rsidR="00E13919" w:rsidRPr="004C230C" w:rsidTr="00E13919">
        <w:tc>
          <w:tcPr>
            <w:tcW w:w="5353" w:type="dxa"/>
            <w:gridSpan w:val="3"/>
          </w:tcPr>
          <w:p w:rsidR="00E13919" w:rsidRPr="00536279" w:rsidRDefault="00E13919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  <w:color w:val="000000"/>
              </w:rPr>
              <w:t>по обязательному аудиту национальных компаний, национальных холдингов, национальных управляющих холдингов</w:t>
            </w:r>
          </w:p>
        </w:tc>
        <w:tc>
          <w:tcPr>
            <w:tcW w:w="4218" w:type="dxa"/>
            <w:gridSpan w:val="2"/>
          </w:tcPr>
          <w:p w:rsidR="00E13919" w:rsidRPr="00536279" w:rsidRDefault="00E13919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  <w:color w:val="000000"/>
              </w:rPr>
              <w:t>по обязательному аудиту финансовых организаций и АО "Банк Развития Казахстана"</w:t>
            </w:r>
          </w:p>
        </w:tc>
      </w:tr>
      <w:tr w:rsidR="00E13919" w:rsidRPr="004C230C" w:rsidTr="004C230C">
        <w:tc>
          <w:tcPr>
            <w:tcW w:w="1668" w:type="dxa"/>
          </w:tcPr>
          <w:p w:rsidR="00E13919" w:rsidRPr="004C230C" w:rsidRDefault="00E13919">
            <w:pPr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* срок занятия аудиторской деятельностью (не менее 5 лет)</w:t>
            </w:r>
          </w:p>
        </w:tc>
        <w:tc>
          <w:tcPr>
            <w:tcW w:w="1691" w:type="dxa"/>
          </w:tcPr>
          <w:p w:rsidR="00E13919" w:rsidRPr="004C230C" w:rsidRDefault="00E13919">
            <w:pPr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* количество организаций, в которых проведен аудит в соответствии с МСФО (не менее 10)</w:t>
            </w:r>
          </w:p>
        </w:tc>
        <w:tc>
          <w:tcPr>
            <w:tcW w:w="1994" w:type="dxa"/>
          </w:tcPr>
          <w:p w:rsidR="00E13919" w:rsidRPr="004C230C" w:rsidRDefault="00E13919">
            <w:pPr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* количество специалистов, имеющих сертификат профессионального бухгалтера (не менее 2)</w:t>
            </w:r>
          </w:p>
        </w:tc>
        <w:tc>
          <w:tcPr>
            <w:tcW w:w="2268" w:type="dxa"/>
          </w:tcPr>
          <w:p w:rsidR="00E13919" w:rsidRPr="004C230C" w:rsidRDefault="00E13919">
            <w:pPr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</w:rPr>
              <w:t>* руководитель группы, имеющий квалификационное свидетельство «аудитор» с опытом работы в области аудита финансовых организаций в течение 3 лет из последних 5</w:t>
            </w:r>
          </w:p>
        </w:tc>
        <w:tc>
          <w:tcPr>
            <w:tcW w:w="1950" w:type="dxa"/>
          </w:tcPr>
          <w:p w:rsidR="00E13919" w:rsidRPr="004C230C" w:rsidRDefault="00E13919">
            <w:pPr>
              <w:rPr>
                <w:rFonts w:ascii="Times New Roman" w:hAnsi="Times New Roman" w:cs="Times New Roman"/>
              </w:rPr>
            </w:pP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* </w:t>
            </w:r>
            <w:r w:rsidRPr="004C230C">
              <w:rPr>
                <w:rFonts w:ascii="Times New Roman" w:hAnsi="Times New Roman" w:cs="Times New Roman"/>
                <w:color w:val="000000"/>
              </w:rPr>
              <w:t>количество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специалистов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4C230C">
              <w:rPr>
                <w:rFonts w:ascii="Times New Roman" w:hAnsi="Times New Roman" w:cs="Times New Roman"/>
                <w:color w:val="000000"/>
              </w:rPr>
              <w:t>имеющих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одну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из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полных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квалификаций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Certified Public Accountant (CPA), The Association of Chartered Certified Ac</w:t>
            </w:r>
            <w:r w:rsidRPr="004C230C">
              <w:rPr>
                <w:rFonts w:ascii="Times New Roman" w:hAnsi="Times New Roman" w:cs="Times New Roman"/>
                <w:color w:val="000000"/>
              </w:rPr>
              <w:t>Ғ</w:t>
            </w:r>
            <w:proofErr w:type="spellStart"/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>countants</w:t>
            </w:r>
            <w:proofErr w:type="spellEnd"/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(ACCA), The Chartered Institute of Man</w:t>
            </w:r>
            <w:r w:rsidRPr="004C230C">
              <w:rPr>
                <w:rFonts w:ascii="Times New Roman" w:hAnsi="Times New Roman" w:cs="Times New Roman"/>
                <w:color w:val="000000"/>
              </w:rPr>
              <w:t>Ғ</w:t>
            </w:r>
            <w:proofErr w:type="spellStart"/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>agement</w:t>
            </w:r>
            <w:proofErr w:type="spellEnd"/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Accountants (CIMA), The Institute of Chartered Accountants in England and Wales (ICAEW) </w:t>
            </w:r>
            <w:r w:rsidRPr="004C230C">
              <w:rPr>
                <w:rFonts w:ascii="Times New Roman" w:hAnsi="Times New Roman" w:cs="Times New Roman"/>
                <w:color w:val="000000"/>
              </w:rPr>
              <w:t>в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области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бухгалтерского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учета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и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аудита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либо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>квалификацию</w:t>
            </w:r>
            <w:r w:rsidRPr="004C230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C230C">
              <w:rPr>
                <w:rFonts w:ascii="Times New Roman" w:hAnsi="Times New Roman" w:cs="Times New Roman"/>
                <w:color w:val="000000"/>
              </w:rPr>
              <w:t xml:space="preserve">«аудитор» с опытом работы в области аудита </w:t>
            </w:r>
            <w:r w:rsidRPr="004C230C">
              <w:rPr>
                <w:rFonts w:ascii="Times New Roman" w:hAnsi="Times New Roman" w:cs="Times New Roman"/>
                <w:color w:val="000000"/>
              </w:rPr>
              <w:lastRenderedPageBreak/>
              <w:t>финансовых организаций в течении 2 (двух) лет из последних пяти (не менее 2)</w:t>
            </w:r>
          </w:p>
        </w:tc>
      </w:tr>
      <w:tr w:rsidR="00E13919" w:rsidRPr="00536279" w:rsidTr="004C230C">
        <w:tc>
          <w:tcPr>
            <w:tcW w:w="1668" w:type="dxa"/>
          </w:tcPr>
          <w:p w:rsidR="00E13919" w:rsidRPr="00536279" w:rsidRDefault="004C230C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691" w:type="dxa"/>
          </w:tcPr>
          <w:p w:rsidR="00E13919" w:rsidRPr="00536279" w:rsidRDefault="004C230C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94" w:type="dxa"/>
          </w:tcPr>
          <w:p w:rsidR="00E13919" w:rsidRPr="00536279" w:rsidRDefault="004C230C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</w:tcPr>
          <w:p w:rsidR="00E13919" w:rsidRPr="00536279" w:rsidRDefault="004C230C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0" w:type="dxa"/>
          </w:tcPr>
          <w:p w:rsidR="00E13919" w:rsidRPr="00536279" w:rsidRDefault="004C230C" w:rsidP="0053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79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700D8E" w:rsidRPr="000E2651" w:rsidRDefault="00700D8E" w:rsidP="000E2651">
      <w:pPr>
        <w:pStyle w:val="a4"/>
        <w:spacing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Прикрепить копии подтверждающих документов</w:t>
      </w:r>
    </w:p>
    <w:sectPr w:rsidR="00700D8E" w:rsidRPr="000E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919"/>
    <w:rsid w:val="000E2651"/>
    <w:rsid w:val="002518EE"/>
    <w:rsid w:val="002C304D"/>
    <w:rsid w:val="003E647B"/>
    <w:rsid w:val="004C230C"/>
    <w:rsid w:val="00522F78"/>
    <w:rsid w:val="00536279"/>
    <w:rsid w:val="00700D8E"/>
    <w:rsid w:val="00C50BED"/>
    <w:rsid w:val="00E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23414-D51C-4A11-8CB7-31818B88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919"/>
  </w:style>
  <w:style w:type="table" w:styleId="a3">
    <w:name w:val="Table Grid"/>
    <w:basedOn w:val="a1"/>
    <w:uiPriority w:val="59"/>
    <w:rsid w:val="00E1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0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n.abdrazak</dc:creator>
  <cp:keywords/>
  <dc:description/>
  <cp:lastModifiedBy>Margarita Izbassarova</cp:lastModifiedBy>
  <cp:revision>9</cp:revision>
  <dcterms:created xsi:type="dcterms:W3CDTF">2015-12-14T08:38:00Z</dcterms:created>
  <dcterms:modified xsi:type="dcterms:W3CDTF">2016-02-10T06:10:00Z</dcterms:modified>
</cp:coreProperties>
</file>